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6C85" w14:textId="26F204BF" w:rsidR="006616A4" w:rsidRPr="003B781D" w:rsidRDefault="006616A4">
      <w:pPr>
        <w:pStyle w:val="Ttulo2"/>
        <w:rPr>
          <w:lang w:val="es-ES"/>
        </w:rPr>
      </w:pPr>
      <w:r w:rsidRPr="003B781D">
        <w:rPr>
          <w:lang w:val="es-ES"/>
        </w:rPr>
        <w:t xml:space="preserve">Evaluación de </w:t>
      </w:r>
      <w:r w:rsidR="00296143">
        <w:rPr>
          <w:lang w:val="es-ES"/>
        </w:rPr>
        <w:t>Alumnos</w:t>
      </w:r>
    </w:p>
    <w:tbl>
      <w:tblPr>
        <w:tblStyle w:val="Tablanormal1"/>
        <w:tblW w:w="9913" w:type="dxa"/>
        <w:jc w:val="center"/>
        <w:tblInd w:w="0" w:type="dxa"/>
        <w:tblLook w:val="0000" w:firstRow="0" w:lastRow="0" w:firstColumn="0" w:lastColumn="0" w:noHBand="0" w:noVBand="0"/>
      </w:tblPr>
      <w:tblGrid>
        <w:gridCol w:w="1293"/>
        <w:gridCol w:w="52"/>
        <w:gridCol w:w="295"/>
        <w:gridCol w:w="3526"/>
        <w:gridCol w:w="388"/>
        <w:gridCol w:w="797"/>
        <w:gridCol w:w="3230"/>
        <w:gridCol w:w="275"/>
        <w:gridCol w:w="11"/>
        <w:gridCol w:w="46"/>
      </w:tblGrid>
      <w:tr w:rsidR="00296143" w:rsidRPr="003B781D" w14:paraId="53677A0F" w14:textId="77777777" w:rsidTr="00651F8C">
        <w:trPr>
          <w:gridAfter w:val="1"/>
          <w:wAfter w:w="46" w:type="dxa"/>
          <w:trHeight w:val="288"/>
          <w:jc w:val="center"/>
        </w:trPr>
        <w:tc>
          <w:tcPr>
            <w:tcW w:w="9867" w:type="dxa"/>
            <w:gridSpan w:val="9"/>
            <w:shd w:val="clear" w:color="auto" w:fill="000000"/>
            <w:vAlign w:val="center"/>
          </w:tcPr>
          <w:p w14:paraId="2414F77F" w14:textId="77777777" w:rsidR="006616A4" w:rsidRPr="003B781D" w:rsidRDefault="00194A95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Datos del Alumno</w:t>
            </w:r>
          </w:p>
        </w:tc>
      </w:tr>
      <w:tr w:rsidR="007B7174" w:rsidRPr="003B781D" w14:paraId="0D56160E" w14:textId="77777777" w:rsidTr="00651F8C">
        <w:trPr>
          <w:trHeight w:val="432"/>
          <w:jc w:val="center"/>
        </w:trPr>
        <w:tc>
          <w:tcPr>
            <w:tcW w:w="1293" w:type="dxa"/>
            <w:shd w:val="clear" w:color="auto" w:fill="auto"/>
            <w:vAlign w:val="bottom"/>
          </w:tcPr>
          <w:p w14:paraId="43C270C2" w14:textId="77777777" w:rsidR="006616A4" w:rsidRPr="003B781D" w:rsidRDefault="00296143" w:rsidP="00912A61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Alumno</w:t>
            </w:r>
            <w:r w:rsidR="006616A4" w:rsidRPr="003B781D">
              <w:rPr>
                <w:lang w:val="es-ES"/>
              </w:rPr>
              <w:t>:</w:t>
            </w:r>
          </w:p>
        </w:tc>
        <w:tc>
          <w:tcPr>
            <w:tcW w:w="4261" w:type="dxa"/>
            <w:gridSpan w:val="4"/>
            <w:shd w:val="clear" w:color="auto" w:fill="auto"/>
            <w:vAlign w:val="bottom"/>
          </w:tcPr>
          <w:p w14:paraId="156C9E1E" w14:textId="5B94363A" w:rsidR="006616A4" w:rsidRPr="003B781D" w:rsidRDefault="00CF2FCC" w:rsidP="00C4263D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0"/>
          </w:p>
        </w:tc>
        <w:tc>
          <w:tcPr>
            <w:tcW w:w="797" w:type="dxa"/>
            <w:shd w:val="clear" w:color="auto" w:fill="auto"/>
            <w:vAlign w:val="bottom"/>
          </w:tcPr>
          <w:p w14:paraId="02FA9DFF" w14:textId="77777777" w:rsidR="006616A4" w:rsidRPr="003B781D" w:rsidRDefault="006616A4" w:rsidP="00912A61">
            <w:pPr>
              <w:pStyle w:val="Textoindependiente"/>
              <w:rPr>
                <w:lang w:val="es-ES"/>
              </w:rPr>
            </w:pPr>
            <w:r w:rsidRPr="003B781D">
              <w:rPr>
                <w:lang w:val="es-ES"/>
              </w:rPr>
              <w:t>Fecha:</w:t>
            </w:r>
          </w:p>
        </w:tc>
        <w:tc>
          <w:tcPr>
            <w:tcW w:w="3562" w:type="dxa"/>
            <w:gridSpan w:val="4"/>
            <w:shd w:val="clear" w:color="auto" w:fill="auto"/>
            <w:vAlign w:val="bottom"/>
          </w:tcPr>
          <w:p w14:paraId="638C02D8" w14:textId="4711F1FB" w:rsidR="006616A4" w:rsidRPr="003B781D" w:rsidRDefault="00CF2FCC" w:rsidP="00C4263D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"/>
          </w:p>
        </w:tc>
      </w:tr>
      <w:tr w:rsidR="007B7174" w:rsidRPr="00301262" w14:paraId="0CE81C4D" w14:textId="77777777" w:rsidTr="00651F8C">
        <w:trPr>
          <w:gridAfter w:val="3"/>
          <w:wAfter w:w="332" w:type="dxa"/>
          <w:trHeight w:val="432"/>
          <w:jc w:val="center"/>
        </w:trPr>
        <w:tc>
          <w:tcPr>
            <w:tcW w:w="1640" w:type="dxa"/>
            <w:gridSpan w:val="3"/>
            <w:shd w:val="clear" w:color="auto" w:fill="auto"/>
            <w:vAlign w:val="bottom"/>
          </w:tcPr>
          <w:p w14:paraId="3A98CBB0" w14:textId="77777777" w:rsidR="006616A4" w:rsidRPr="003B781D" w:rsidRDefault="00296143" w:rsidP="00912A61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Capacitación</w:t>
            </w:r>
            <w:r w:rsidR="006616A4" w:rsidRPr="003B781D">
              <w:rPr>
                <w:lang w:val="es-ES"/>
              </w:rPr>
              <w:t>:</w:t>
            </w:r>
          </w:p>
        </w:tc>
        <w:tc>
          <w:tcPr>
            <w:tcW w:w="7941" w:type="dxa"/>
            <w:gridSpan w:val="4"/>
            <w:shd w:val="clear" w:color="auto" w:fill="auto"/>
            <w:vAlign w:val="bottom"/>
          </w:tcPr>
          <w:p w14:paraId="12CAE60C" w14:textId="675BDA55" w:rsidR="006616A4" w:rsidRPr="003B781D" w:rsidRDefault="00651F8C" w:rsidP="007B7174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ertificate como Auditor Interno"/>
                  </w:textInput>
                </w:ffData>
              </w:fldChar>
            </w:r>
            <w:bookmarkStart w:id="2" w:name="Text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Certificate como Auditor Interno</w:t>
            </w:r>
            <w:r>
              <w:rPr>
                <w:lang w:val="es-ES"/>
              </w:rPr>
              <w:fldChar w:fldCharType="end"/>
            </w:r>
            <w:bookmarkEnd w:id="2"/>
          </w:p>
        </w:tc>
      </w:tr>
      <w:tr w:rsidR="007B7174" w:rsidRPr="003B781D" w14:paraId="4D6F27EA" w14:textId="77777777" w:rsidTr="00651F8C">
        <w:trPr>
          <w:gridAfter w:val="2"/>
          <w:wAfter w:w="57" w:type="dxa"/>
          <w:trHeight w:val="432"/>
          <w:jc w:val="center"/>
        </w:trPr>
        <w:tc>
          <w:tcPr>
            <w:tcW w:w="1293" w:type="dxa"/>
            <w:shd w:val="clear" w:color="auto" w:fill="auto"/>
            <w:vAlign w:val="bottom"/>
          </w:tcPr>
          <w:p w14:paraId="3F926374" w14:textId="77777777" w:rsidR="006616A4" w:rsidRPr="003B781D" w:rsidRDefault="00296143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Empresa:</w:t>
            </w:r>
          </w:p>
        </w:tc>
        <w:tc>
          <w:tcPr>
            <w:tcW w:w="8563" w:type="dxa"/>
            <w:gridSpan w:val="7"/>
            <w:shd w:val="clear" w:color="auto" w:fill="auto"/>
            <w:vAlign w:val="bottom"/>
          </w:tcPr>
          <w:p w14:paraId="6DFE3CCB" w14:textId="10029DD8" w:rsidR="006616A4" w:rsidRPr="003B781D" w:rsidRDefault="00CF2FCC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"/>
          </w:p>
        </w:tc>
      </w:tr>
      <w:tr w:rsidR="007B7174" w:rsidRPr="003B781D" w14:paraId="6AD389D8" w14:textId="77777777" w:rsidTr="00651F8C">
        <w:trPr>
          <w:trHeight w:val="432"/>
          <w:jc w:val="center"/>
        </w:trPr>
        <w:tc>
          <w:tcPr>
            <w:tcW w:w="1345" w:type="dxa"/>
            <w:gridSpan w:val="2"/>
            <w:shd w:val="clear" w:color="auto" w:fill="auto"/>
            <w:vAlign w:val="bottom"/>
          </w:tcPr>
          <w:p w14:paraId="3C5B12B3" w14:textId="77777777" w:rsidR="006616A4" w:rsidRPr="003B781D" w:rsidRDefault="00296143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País</w:t>
            </w:r>
            <w:r w:rsidR="006616A4" w:rsidRPr="003B781D">
              <w:rPr>
                <w:lang w:val="es-ES"/>
              </w:rPr>
              <w:t>:</w:t>
            </w:r>
          </w:p>
        </w:tc>
        <w:tc>
          <w:tcPr>
            <w:tcW w:w="8568" w:type="dxa"/>
            <w:gridSpan w:val="8"/>
            <w:shd w:val="clear" w:color="auto" w:fill="auto"/>
            <w:vAlign w:val="bottom"/>
          </w:tcPr>
          <w:p w14:paraId="0CE93CF0" w14:textId="00970510" w:rsidR="006616A4" w:rsidRPr="003B781D" w:rsidRDefault="00CF2FCC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"/>
          </w:p>
        </w:tc>
      </w:tr>
      <w:tr w:rsidR="00296143" w:rsidRPr="003B781D" w14:paraId="75B81E82" w14:textId="77777777" w:rsidTr="00651F8C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9"/>
            <w:shd w:val="clear" w:color="auto" w:fill="auto"/>
            <w:vAlign w:val="bottom"/>
          </w:tcPr>
          <w:p w14:paraId="505C0852" w14:textId="77777777" w:rsidR="006616A4" w:rsidRPr="003B781D" w:rsidRDefault="006616A4">
            <w:pPr>
              <w:rPr>
                <w:lang w:val="es-ES"/>
              </w:rPr>
            </w:pPr>
          </w:p>
        </w:tc>
      </w:tr>
      <w:tr w:rsidR="00296143" w:rsidRPr="003B781D" w14:paraId="035AC7E3" w14:textId="77777777" w:rsidTr="00651F8C">
        <w:trPr>
          <w:gridAfter w:val="1"/>
          <w:wAfter w:w="46" w:type="dxa"/>
          <w:trHeight w:val="288"/>
          <w:jc w:val="center"/>
        </w:trPr>
        <w:tc>
          <w:tcPr>
            <w:tcW w:w="9867" w:type="dxa"/>
            <w:gridSpan w:val="9"/>
            <w:shd w:val="clear" w:color="auto" w:fill="000000"/>
            <w:vAlign w:val="center"/>
          </w:tcPr>
          <w:p w14:paraId="33775092" w14:textId="77777777" w:rsidR="006616A4" w:rsidRPr="003B781D" w:rsidRDefault="00296143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Tipo de Capacitación</w:t>
            </w:r>
          </w:p>
        </w:tc>
      </w:tr>
      <w:tr w:rsidR="00296143" w:rsidRPr="003B781D" w14:paraId="07C468E9" w14:textId="77777777" w:rsidTr="00651F8C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9"/>
            <w:shd w:val="clear" w:color="auto" w:fill="auto"/>
            <w:vAlign w:val="bottom"/>
          </w:tcPr>
          <w:p w14:paraId="4CB2F095" w14:textId="77777777" w:rsidR="006616A4" w:rsidRPr="003B781D" w:rsidRDefault="006616A4">
            <w:pPr>
              <w:pStyle w:val="Textodecampo"/>
              <w:rPr>
                <w:lang w:val="es-ES"/>
              </w:rPr>
            </w:pPr>
          </w:p>
        </w:tc>
      </w:tr>
      <w:tr w:rsidR="00296143" w:rsidRPr="003B781D" w14:paraId="5B5A8F0C" w14:textId="77777777" w:rsidTr="00651F8C">
        <w:trPr>
          <w:trHeight w:val="165"/>
          <w:jc w:val="center"/>
        </w:trPr>
        <w:tc>
          <w:tcPr>
            <w:tcW w:w="5166" w:type="dxa"/>
            <w:gridSpan w:val="4"/>
            <w:shd w:val="clear" w:color="auto" w:fill="auto"/>
          </w:tcPr>
          <w:p w14:paraId="14F971E3" w14:textId="77777777" w:rsidR="006616A4" w:rsidRPr="003B781D" w:rsidRDefault="00296143">
            <w:pPr>
              <w:pStyle w:val="Textoindependiente3"/>
              <w:rPr>
                <w:lang w:val="es-ES"/>
              </w:rPr>
            </w:pPr>
            <w:r>
              <w:rPr>
                <w:lang w:val="es-ES"/>
              </w:rPr>
              <w:t>Virtual</w:t>
            </w:r>
          </w:p>
        </w:tc>
        <w:tc>
          <w:tcPr>
            <w:tcW w:w="4747" w:type="dxa"/>
            <w:gridSpan w:val="6"/>
            <w:shd w:val="clear" w:color="auto" w:fill="auto"/>
          </w:tcPr>
          <w:p w14:paraId="4092D0A1" w14:textId="77777777" w:rsidR="006616A4" w:rsidRPr="003B781D" w:rsidRDefault="00296143">
            <w:pPr>
              <w:pStyle w:val="Textoindependiente3"/>
              <w:rPr>
                <w:lang w:val="es-ES"/>
              </w:rPr>
            </w:pPr>
            <w:r>
              <w:rPr>
                <w:lang w:val="es-ES"/>
              </w:rPr>
              <w:t>Presencial</w:t>
            </w:r>
          </w:p>
        </w:tc>
      </w:tr>
      <w:tr w:rsidR="00296143" w:rsidRPr="003B781D" w14:paraId="1E074C04" w14:textId="77777777" w:rsidTr="00651F8C">
        <w:trPr>
          <w:trHeight w:val="360"/>
          <w:jc w:val="center"/>
        </w:trPr>
        <w:tc>
          <w:tcPr>
            <w:tcW w:w="5166" w:type="dxa"/>
            <w:gridSpan w:val="4"/>
            <w:shd w:val="clear" w:color="auto" w:fill="auto"/>
          </w:tcPr>
          <w:p w14:paraId="3C2EA20A" w14:textId="77777777" w:rsidR="006616A4" w:rsidRPr="003B781D" w:rsidRDefault="00396EF3">
            <w:pPr>
              <w:pStyle w:val="Casilladeverificacin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4747" w:type="dxa"/>
            <w:gridSpan w:val="6"/>
            <w:shd w:val="clear" w:color="auto" w:fill="auto"/>
          </w:tcPr>
          <w:p w14:paraId="640B3BF0" w14:textId="77777777" w:rsidR="006616A4" w:rsidRPr="003B781D" w:rsidRDefault="006616A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296143" w:rsidRPr="003B781D" w14:paraId="18062BE1" w14:textId="77777777" w:rsidTr="00651F8C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9"/>
            <w:shd w:val="clear" w:color="auto" w:fill="auto"/>
            <w:vAlign w:val="bottom"/>
          </w:tcPr>
          <w:p w14:paraId="18FC0986" w14:textId="77777777" w:rsidR="006616A4" w:rsidRPr="003B781D" w:rsidRDefault="006616A4">
            <w:pPr>
              <w:rPr>
                <w:lang w:val="es-ES"/>
              </w:rPr>
            </w:pPr>
          </w:p>
        </w:tc>
      </w:tr>
      <w:tr w:rsidR="00296143" w:rsidRPr="003B781D" w14:paraId="5FE90073" w14:textId="77777777" w:rsidTr="00651F8C">
        <w:trPr>
          <w:gridAfter w:val="1"/>
          <w:wAfter w:w="46" w:type="dxa"/>
          <w:trHeight w:val="288"/>
          <w:jc w:val="center"/>
        </w:trPr>
        <w:tc>
          <w:tcPr>
            <w:tcW w:w="9867" w:type="dxa"/>
            <w:gridSpan w:val="9"/>
            <w:shd w:val="clear" w:color="auto" w:fill="000000"/>
            <w:vAlign w:val="center"/>
          </w:tcPr>
          <w:p w14:paraId="3FCE142E" w14:textId="77777777" w:rsidR="006616A4" w:rsidRPr="003B781D" w:rsidRDefault="006616A4">
            <w:pPr>
              <w:pStyle w:val="Ttulo3"/>
              <w:rPr>
                <w:lang w:val="es-ES"/>
              </w:rPr>
            </w:pPr>
            <w:r w:rsidRPr="003B781D">
              <w:rPr>
                <w:lang w:val="es-ES"/>
              </w:rPr>
              <w:t xml:space="preserve">Evaluación </w:t>
            </w:r>
          </w:p>
        </w:tc>
      </w:tr>
    </w:tbl>
    <w:p w14:paraId="140B9066" w14:textId="6E9D860B" w:rsidR="006616A4" w:rsidRDefault="006616A4">
      <w:pPr>
        <w:rPr>
          <w:lang w:val="es-ES"/>
        </w:rPr>
      </w:pPr>
    </w:p>
    <w:p w14:paraId="5677B4E7" w14:textId="77777777" w:rsidR="00651F8C" w:rsidRPr="00A72BF3" w:rsidRDefault="00651F8C" w:rsidP="00651F8C">
      <w:pPr>
        <w:rPr>
          <w:lang w:val="es-ES" w:eastAsia="es-ES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985"/>
        <w:gridCol w:w="1701"/>
      </w:tblGrid>
      <w:tr w:rsidR="00651F8C" w:rsidRPr="00C764AD" w14:paraId="4640875D" w14:textId="77777777" w:rsidTr="00651F8C">
        <w:trPr>
          <w:tblHeader/>
        </w:trPr>
        <w:tc>
          <w:tcPr>
            <w:tcW w:w="6238" w:type="dxa"/>
            <w:shd w:val="clear" w:color="auto" w:fill="8DB3E2" w:themeFill="text2" w:themeFillTint="66"/>
            <w:vAlign w:val="center"/>
          </w:tcPr>
          <w:p w14:paraId="4963F72E" w14:textId="77777777" w:rsidR="00651F8C" w:rsidRPr="00C764AD" w:rsidRDefault="00651F8C" w:rsidP="009140E5">
            <w:pPr>
              <w:keepNext/>
              <w:jc w:val="center"/>
              <w:outlineLvl w:val="0"/>
              <w:rPr>
                <w:rFonts w:ascii="Quincy CF" w:hAnsi="Quincy CF" w:cs="Tahoma"/>
                <w:b/>
                <w:bCs/>
                <w:sz w:val="24"/>
                <w:szCs w:val="24"/>
                <w:lang w:val="es-ES_tradnl" w:eastAsia="es-ES"/>
              </w:rPr>
            </w:pPr>
          </w:p>
          <w:p w14:paraId="1B0E83D1" w14:textId="77777777" w:rsidR="00651F8C" w:rsidRPr="00C764AD" w:rsidRDefault="00651F8C" w:rsidP="009140E5">
            <w:pPr>
              <w:keepNext/>
              <w:jc w:val="center"/>
              <w:outlineLvl w:val="0"/>
              <w:rPr>
                <w:rFonts w:ascii="Quincy CF" w:hAnsi="Quincy CF" w:cs="Tahoma"/>
                <w:b/>
                <w:bCs/>
                <w:sz w:val="24"/>
                <w:szCs w:val="24"/>
                <w:lang w:val="es-ES_tradnl" w:eastAsia="es-ES"/>
              </w:rPr>
            </w:pPr>
            <w:r w:rsidRPr="00C764AD">
              <w:rPr>
                <w:rFonts w:ascii="Quincy CF" w:hAnsi="Quincy CF" w:cs="Tahoma"/>
                <w:b/>
                <w:bCs/>
                <w:sz w:val="24"/>
                <w:szCs w:val="24"/>
                <w:lang w:val="es-ES_tradnl" w:eastAsia="es-ES"/>
              </w:rPr>
              <w:t>Hallazgo de la auditoría</w:t>
            </w:r>
          </w:p>
          <w:p w14:paraId="16E3B62E" w14:textId="77777777" w:rsidR="00651F8C" w:rsidRPr="00C764AD" w:rsidRDefault="00651F8C" w:rsidP="009140E5">
            <w:pPr>
              <w:keepNext/>
              <w:jc w:val="center"/>
              <w:outlineLvl w:val="0"/>
              <w:rPr>
                <w:rFonts w:ascii="Quincy CF" w:hAnsi="Quincy CF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38D0C09A" w14:textId="28C4BAEA" w:rsidR="00651F8C" w:rsidRPr="00C764AD" w:rsidRDefault="00651F8C" w:rsidP="009140E5">
            <w:pPr>
              <w:keepNext/>
              <w:ind w:left="-115" w:firstLine="5"/>
              <w:jc w:val="center"/>
              <w:outlineLvl w:val="0"/>
              <w:rPr>
                <w:rFonts w:ascii="Quincy CF" w:hAnsi="Quincy CF" w:cs="Tahoma"/>
                <w:b/>
                <w:bCs/>
                <w:sz w:val="24"/>
                <w:szCs w:val="24"/>
                <w:lang w:val="es-ES_tradnl" w:eastAsia="es-ES"/>
              </w:rPr>
            </w:pPr>
            <w:r w:rsidRPr="00C764AD">
              <w:rPr>
                <w:rFonts w:ascii="Quincy CF" w:hAnsi="Quincy CF" w:cs="Tahoma"/>
                <w:b/>
                <w:bCs/>
                <w:sz w:val="24"/>
                <w:szCs w:val="24"/>
                <w:lang w:val="es-ES_tradnl" w:eastAsia="es-ES"/>
              </w:rPr>
              <w:t>Área que afecta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3B79AF22" w14:textId="77777777" w:rsidR="00651F8C" w:rsidRPr="00C764AD" w:rsidRDefault="00651F8C" w:rsidP="009140E5">
            <w:pPr>
              <w:keepNext/>
              <w:jc w:val="center"/>
              <w:outlineLvl w:val="0"/>
              <w:rPr>
                <w:rFonts w:ascii="Quincy CF" w:hAnsi="Quincy CF" w:cs="Tahoma"/>
                <w:b/>
                <w:bCs/>
                <w:sz w:val="24"/>
                <w:szCs w:val="24"/>
                <w:lang w:val="es-ES_tradnl" w:eastAsia="es-ES"/>
              </w:rPr>
            </w:pPr>
            <w:r w:rsidRPr="00C764AD">
              <w:rPr>
                <w:rFonts w:ascii="Quincy CF" w:hAnsi="Quincy CF" w:cs="Tahoma"/>
                <w:b/>
                <w:bCs/>
                <w:sz w:val="24"/>
                <w:szCs w:val="24"/>
                <w:lang w:val="es-ES_tradnl" w:eastAsia="es-ES"/>
              </w:rPr>
              <w:t>Tipo de No conformidad</w:t>
            </w:r>
          </w:p>
        </w:tc>
      </w:tr>
      <w:tr w:rsidR="00651F8C" w:rsidRPr="00C764AD" w14:paraId="0770287B" w14:textId="77777777" w:rsidTr="00651F8C">
        <w:tc>
          <w:tcPr>
            <w:tcW w:w="6238" w:type="dxa"/>
          </w:tcPr>
          <w:p w14:paraId="3495D6B9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  <w:t>Instalaciones de descanso, servicios higiénicos, cambio de ropa inadecuadas.</w:t>
            </w:r>
          </w:p>
        </w:tc>
        <w:tc>
          <w:tcPr>
            <w:tcW w:w="1985" w:type="dxa"/>
          </w:tcPr>
          <w:p w14:paraId="735B4C2C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b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b/>
                <w:sz w:val="20"/>
                <w:szCs w:val="20"/>
                <w:lang w:val="es-ES_tradnl" w:eastAsia="es-ES"/>
              </w:rPr>
              <w:t>Operación</w:t>
            </w:r>
          </w:p>
        </w:tc>
        <w:tc>
          <w:tcPr>
            <w:tcW w:w="1701" w:type="dxa"/>
          </w:tcPr>
          <w:p w14:paraId="1086337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b/>
                <w:sz w:val="20"/>
                <w:szCs w:val="20"/>
                <w:lang w:val="es-ES_tradnl" w:eastAsia="es-ES"/>
              </w:rPr>
              <w:t>Mayor</w:t>
            </w:r>
          </w:p>
        </w:tc>
      </w:tr>
      <w:tr w:rsidR="00651F8C" w:rsidRPr="00651F8C" w14:paraId="13329F9F" w14:textId="77777777" w:rsidTr="00651F8C">
        <w:tc>
          <w:tcPr>
            <w:tcW w:w="6238" w:type="dxa"/>
          </w:tcPr>
          <w:p w14:paraId="74CDB386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 xml:space="preserve">Superficies </w:t>
            </w:r>
            <w:proofErr w:type="spellStart"/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>in-limpiables</w:t>
            </w:r>
            <w:proofErr w:type="spellEnd"/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 xml:space="preserve"> a consecuencia de cañerías, artefactos o ductos directamente encima de los productos o del equipo de fabricación.</w:t>
            </w:r>
          </w:p>
        </w:tc>
        <w:tc>
          <w:tcPr>
            <w:tcW w:w="1985" w:type="dxa"/>
          </w:tcPr>
          <w:p w14:paraId="126D0867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</w:tcPr>
          <w:p w14:paraId="7BE82078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</w:p>
        </w:tc>
      </w:tr>
      <w:tr w:rsidR="00651F8C" w:rsidRPr="00651F8C" w14:paraId="01781C8C" w14:textId="77777777" w:rsidTr="00651F8C">
        <w:tc>
          <w:tcPr>
            <w:tcW w:w="6238" w:type="dxa"/>
          </w:tcPr>
          <w:p w14:paraId="18224C57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>Terminaciones de superficies (pisos, paredes y techos) que no permiten una limpieza efectiva.</w:t>
            </w:r>
          </w:p>
        </w:tc>
        <w:tc>
          <w:tcPr>
            <w:tcW w:w="1985" w:type="dxa"/>
          </w:tcPr>
          <w:p w14:paraId="76D75435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3DC674B5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73A56F15" w14:textId="77777777" w:rsidTr="00651F8C">
        <w:tc>
          <w:tcPr>
            <w:tcW w:w="6238" w:type="dxa"/>
          </w:tcPr>
          <w:p w14:paraId="77EBE3B3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Los desagües no cuentan con trampas y mallas.</w:t>
            </w:r>
          </w:p>
          <w:p w14:paraId="2F8B36C0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85" w:type="dxa"/>
          </w:tcPr>
          <w:p w14:paraId="0AC03859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</w:tcPr>
          <w:p w14:paraId="0B3E6495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</w:tr>
      <w:tr w:rsidR="00651F8C" w:rsidRPr="00651F8C" w14:paraId="72F704F5" w14:textId="77777777" w:rsidTr="00651F8C">
        <w:tc>
          <w:tcPr>
            <w:tcW w:w="6238" w:type="dxa"/>
          </w:tcPr>
          <w:p w14:paraId="2CA3795B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22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  <w:t>Los suministros de gases y líquidos no están identificados.</w:t>
            </w:r>
          </w:p>
        </w:tc>
        <w:tc>
          <w:tcPr>
            <w:tcW w:w="1985" w:type="dxa"/>
          </w:tcPr>
          <w:p w14:paraId="1673744C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66415216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00BA0CCE" w14:textId="77777777" w:rsidTr="00651F8C">
        <w:tc>
          <w:tcPr>
            <w:tcW w:w="6238" w:type="dxa"/>
          </w:tcPr>
          <w:p w14:paraId="09862B96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>Cuarentena física y electrónica accesible a personal no autorizado.</w:t>
            </w:r>
          </w:p>
        </w:tc>
        <w:tc>
          <w:tcPr>
            <w:tcW w:w="1985" w:type="dxa"/>
          </w:tcPr>
          <w:p w14:paraId="7B42C147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4AFDABF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2714AF10" w14:textId="77777777" w:rsidTr="00651F8C">
        <w:tc>
          <w:tcPr>
            <w:tcW w:w="6238" w:type="dxa"/>
          </w:tcPr>
          <w:p w14:paraId="7C89DC8D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 xml:space="preserve">Área de cuarentena física mal marcada y/o no respetada (en los casos en que se emplea cuarentena física </w:t>
            </w:r>
          </w:p>
        </w:tc>
        <w:tc>
          <w:tcPr>
            <w:tcW w:w="1985" w:type="dxa"/>
          </w:tcPr>
          <w:p w14:paraId="4FDF0363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3991BD37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7232D5B0" w14:textId="77777777" w:rsidTr="00651F8C">
        <w:tc>
          <w:tcPr>
            <w:tcW w:w="6238" w:type="dxa"/>
          </w:tcPr>
          <w:p w14:paraId="5F8CC89C" w14:textId="77777777" w:rsidR="00651F8C" w:rsidRPr="00C764AD" w:rsidRDefault="00651F8C" w:rsidP="009140E5">
            <w:pPr>
              <w:tabs>
                <w:tab w:val="left" w:pos="540"/>
              </w:tabs>
              <w:jc w:val="both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>No hay</w:t>
            </w: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 xml:space="preserve"> bancas que separen sector ropa de calle de sector ropa de trabajo, con zapateras de </w:t>
            </w:r>
            <w:proofErr w:type="spellStart"/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>pantinas</w:t>
            </w:r>
            <w:proofErr w:type="spellEnd"/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 xml:space="preserve"> por un lado y zapatos de trabajo por el otro (vestidores de varones).  </w:t>
            </w:r>
          </w:p>
        </w:tc>
        <w:tc>
          <w:tcPr>
            <w:tcW w:w="1985" w:type="dxa"/>
          </w:tcPr>
          <w:p w14:paraId="36F8F3AC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07A8CFA6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5C10E44C" w14:textId="77777777" w:rsidTr="00651F8C">
        <w:tc>
          <w:tcPr>
            <w:tcW w:w="6238" w:type="dxa"/>
          </w:tcPr>
          <w:p w14:paraId="233CBE98" w14:textId="77777777" w:rsidR="00651F8C" w:rsidRPr="00C764AD" w:rsidRDefault="00651F8C" w:rsidP="009140E5">
            <w:pPr>
              <w:tabs>
                <w:tab w:val="left" w:pos="540"/>
              </w:tabs>
              <w:jc w:val="both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>Bodegas no tiene los portones sellados hacia el exterior.</w:t>
            </w:r>
          </w:p>
        </w:tc>
        <w:tc>
          <w:tcPr>
            <w:tcW w:w="1985" w:type="dxa"/>
          </w:tcPr>
          <w:p w14:paraId="6C689838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03A495BB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5685EA20" w14:textId="77777777" w:rsidTr="00651F8C">
        <w:tc>
          <w:tcPr>
            <w:tcW w:w="6238" w:type="dxa"/>
          </w:tcPr>
          <w:p w14:paraId="0F132EC0" w14:textId="77777777" w:rsidR="00651F8C" w:rsidRPr="00C764AD" w:rsidRDefault="00651F8C" w:rsidP="009140E5">
            <w:pPr>
              <w:tabs>
                <w:tab w:val="left" w:pos="540"/>
              </w:tabs>
              <w:jc w:val="both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>La Bodega M.P, tiene roto el filtro del flujo laminar en el área de muestreo</w:t>
            </w:r>
          </w:p>
        </w:tc>
        <w:tc>
          <w:tcPr>
            <w:tcW w:w="1985" w:type="dxa"/>
          </w:tcPr>
          <w:p w14:paraId="6DF527E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7107E26A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45A0860D" w14:textId="77777777" w:rsidTr="00651F8C">
        <w:tc>
          <w:tcPr>
            <w:tcW w:w="6238" w:type="dxa"/>
          </w:tcPr>
          <w:p w14:paraId="6A73C3EF" w14:textId="77777777" w:rsidR="00651F8C" w:rsidRPr="00C764AD" w:rsidRDefault="00651F8C" w:rsidP="009140E5">
            <w:pPr>
              <w:tabs>
                <w:tab w:val="left" w:pos="540"/>
              </w:tabs>
              <w:jc w:val="both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 xml:space="preserve">En la bodega de material de E.E. no se controla la </w:t>
            </w:r>
            <w:r>
              <w:rPr>
                <w:rFonts w:ascii="Quincy CF" w:hAnsi="Quincy CF" w:cs="Tahoma"/>
                <w:sz w:val="20"/>
                <w:szCs w:val="20"/>
                <w:lang w:val="es-ES" w:eastAsia="es-ES"/>
              </w:rPr>
              <w:t>temperatura</w:t>
            </w: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 xml:space="preserve"> ni humedad</w:t>
            </w:r>
          </w:p>
        </w:tc>
        <w:tc>
          <w:tcPr>
            <w:tcW w:w="1985" w:type="dxa"/>
          </w:tcPr>
          <w:p w14:paraId="7630A0C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429412C2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02802952" w14:textId="77777777" w:rsidTr="00651F8C">
        <w:tc>
          <w:tcPr>
            <w:tcW w:w="6238" w:type="dxa"/>
          </w:tcPr>
          <w:p w14:paraId="3A4377F1" w14:textId="77777777" w:rsidR="00651F8C" w:rsidRPr="00C764AD" w:rsidRDefault="00651F8C" w:rsidP="009140E5">
            <w:pPr>
              <w:tabs>
                <w:tab w:val="left" w:pos="360"/>
              </w:tabs>
              <w:jc w:val="both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 xml:space="preserve">Bodega de productos rechazados: No tiene ningún sistema para combatir incendios, desordenada, muy llena.  </w:t>
            </w:r>
          </w:p>
        </w:tc>
        <w:tc>
          <w:tcPr>
            <w:tcW w:w="1985" w:type="dxa"/>
          </w:tcPr>
          <w:p w14:paraId="495D1C83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-115" w:firstLine="5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141B9DC4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0C992333" w14:textId="77777777" w:rsidTr="00651F8C">
        <w:tc>
          <w:tcPr>
            <w:tcW w:w="6238" w:type="dxa"/>
          </w:tcPr>
          <w:p w14:paraId="09BDDC59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  <w:t>Ausencia de bitácoras de equipos.</w:t>
            </w:r>
          </w:p>
        </w:tc>
        <w:tc>
          <w:tcPr>
            <w:tcW w:w="1985" w:type="dxa"/>
          </w:tcPr>
          <w:p w14:paraId="53BB0698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48F8D1E5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22997F36" w14:textId="77777777" w:rsidTr="00651F8C">
        <w:tc>
          <w:tcPr>
            <w:tcW w:w="6238" w:type="dxa"/>
          </w:tcPr>
          <w:p w14:paraId="69E8094E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>Delegación de responsabilidades de Control de Calidad o Producción a personas insuficientemente calificadas.</w:t>
            </w:r>
          </w:p>
        </w:tc>
        <w:tc>
          <w:tcPr>
            <w:tcW w:w="1985" w:type="dxa"/>
          </w:tcPr>
          <w:p w14:paraId="05B9F4DE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</w:tcPr>
          <w:p w14:paraId="49F3A1F8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</w:p>
        </w:tc>
      </w:tr>
      <w:tr w:rsidR="00651F8C" w:rsidRPr="00651F8C" w14:paraId="07792114" w14:textId="77777777" w:rsidTr="00651F8C">
        <w:tc>
          <w:tcPr>
            <w:tcW w:w="6238" w:type="dxa"/>
          </w:tcPr>
          <w:p w14:paraId="75B20578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>Insuficiente capacitación / entrenamiento del personal involucrado en Control de Calidad o Producción, que tiene como consecuencia desviaciones de GMP.</w:t>
            </w:r>
          </w:p>
        </w:tc>
        <w:tc>
          <w:tcPr>
            <w:tcW w:w="1985" w:type="dxa"/>
          </w:tcPr>
          <w:p w14:paraId="4988B80A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</w:tcPr>
          <w:p w14:paraId="1D0943C2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</w:p>
        </w:tc>
      </w:tr>
      <w:tr w:rsidR="00651F8C" w:rsidRPr="00C764AD" w14:paraId="59E96332" w14:textId="77777777" w:rsidTr="00651F8C">
        <w:tc>
          <w:tcPr>
            <w:tcW w:w="6238" w:type="dxa"/>
          </w:tcPr>
          <w:p w14:paraId="4CF6A733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  <w:t>Programa de salud incompleto.</w:t>
            </w:r>
          </w:p>
        </w:tc>
        <w:tc>
          <w:tcPr>
            <w:tcW w:w="1985" w:type="dxa"/>
          </w:tcPr>
          <w:p w14:paraId="2D792C7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1CAAA785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2A6D38C2" w14:textId="77777777" w:rsidTr="00651F8C">
        <w:tc>
          <w:tcPr>
            <w:tcW w:w="6238" w:type="dxa"/>
          </w:tcPr>
          <w:p w14:paraId="698F52BF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Evidencia de infestación por plagas.</w:t>
            </w:r>
          </w:p>
        </w:tc>
        <w:tc>
          <w:tcPr>
            <w:tcW w:w="1985" w:type="dxa"/>
          </w:tcPr>
          <w:p w14:paraId="3A666492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</w:tcPr>
          <w:p w14:paraId="052D0032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</w:tr>
      <w:tr w:rsidR="00651F8C" w:rsidRPr="00651F8C" w14:paraId="0EA2BDB9" w14:textId="77777777" w:rsidTr="00651F8C">
        <w:tc>
          <w:tcPr>
            <w:tcW w:w="6238" w:type="dxa"/>
          </w:tcPr>
          <w:p w14:paraId="3B2745F7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>Los programas de salud e higiene no están adecuadamente implementados o no son adecuadamente seguidos por los empleados.</w:t>
            </w:r>
          </w:p>
        </w:tc>
        <w:tc>
          <w:tcPr>
            <w:tcW w:w="1985" w:type="dxa"/>
          </w:tcPr>
          <w:p w14:paraId="6CB3E640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4C95171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6DB77ABA" w14:textId="77777777" w:rsidTr="00651F8C">
        <w:tc>
          <w:tcPr>
            <w:tcW w:w="6238" w:type="dxa"/>
          </w:tcPr>
          <w:p w14:paraId="14550DD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>Cuando se reciben múltiples lotes de un producto, no se les considera como lotes separados a los efectos del muestreo, ensayo y liberación.</w:t>
            </w:r>
          </w:p>
        </w:tc>
        <w:tc>
          <w:tcPr>
            <w:tcW w:w="1985" w:type="dxa"/>
          </w:tcPr>
          <w:p w14:paraId="1DFFD9D4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7B5457C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4D40C2EE" w14:textId="77777777" w:rsidTr="00651F8C">
        <w:tc>
          <w:tcPr>
            <w:tcW w:w="6238" w:type="dxa"/>
          </w:tcPr>
          <w:p w14:paraId="32EC15E7" w14:textId="65462013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 xml:space="preserve">No se cuenta con procedimiento para las condiciones de transporte y </w:t>
            </w: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lastRenderedPageBreak/>
              <w:t>almacenamiento.</w:t>
            </w:r>
            <w:r>
              <w:rPr>
                <w:noProof/>
                <w:lang w:val="es-ES"/>
              </w:rPr>
              <w:t xml:space="preserve"> </w:t>
            </w:r>
          </w:p>
        </w:tc>
        <w:tc>
          <w:tcPr>
            <w:tcW w:w="1985" w:type="dxa"/>
          </w:tcPr>
          <w:p w14:paraId="2610FACA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7471CFE0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6F46259C" w14:textId="77777777" w:rsidTr="00651F8C">
        <w:tc>
          <w:tcPr>
            <w:tcW w:w="6238" w:type="dxa"/>
          </w:tcPr>
          <w:p w14:paraId="4882F65B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>Programa de limpieza / sanitización incompleta, pero instalaciones en estado aceptable de limpieza.</w:t>
            </w:r>
          </w:p>
        </w:tc>
        <w:tc>
          <w:tcPr>
            <w:tcW w:w="1985" w:type="dxa"/>
          </w:tcPr>
          <w:p w14:paraId="6331EF5A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</w:tcPr>
          <w:p w14:paraId="0DB837ED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</w:p>
        </w:tc>
      </w:tr>
      <w:tr w:rsidR="00651F8C" w:rsidRPr="00651F8C" w14:paraId="0E747CA3" w14:textId="77777777" w:rsidTr="00651F8C">
        <w:tc>
          <w:tcPr>
            <w:tcW w:w="6238" w:type="dxa"/>
          </w:tcPr>
          <w:p w14:paraId="711DB972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>Cambios mayores respecto a los documentos de producción patrón no aprobados /documentados.</w:t>
            </w:r>
          </w:p>
        </w:tc>
        <w:tc>
          <w:tcPr>
            <w:tcW w:w="1985" w:type="dxa"/>
          </w:tcPr>
          <w:p w14:paraId="1C603A49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32A8BD57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52AB52E9" w14:textId="77777777" w:rsidTr="00651F8C">
        <w:tc>
          <w:tcPr>
            <w:tcW w:w="6238" w:type="dxa"/>
          </w:tcPr>
          <w:p w14:paraId="25DE3E60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Acceso a áreas de almacén no restringido a personal autorizado.</w:t>
            </w:r>
          </w:p>
        </w:tc>
        <w:tc>
          <w:tcPr>
            <w:tcW w:w="1985" w:type="dxa"/>
          </w:tcPr>
          <w:p w14:paraId="5A0BB573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</w:tcPr>
          <w:p w14:paraId="0E3CEF0C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</w:tr>
      <w:tr w:rsidR="00651F8C" w:rsidRPr="00651F8C" w14:paraId="68E7E0C7" w14:textId="77777777" w:rsidTr="00651F8C">
        <w:tc>
          <w:tcPr>
            <w:tcW w:w="6238" w:type="dxa"/>
          </w:tcPr>
          <w:p w14:paraId="11988D4A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>Ausencia de verificaciones regulares para dispositivos de medición / ausencia de registros.</w:t>
            </w:r>
          </w:p>
        </w:tc>
        <w:tc>
          <w:tcPr>
            <w:tcW w:w="1985" w:type="dxa"/>
          </w:tcPr>
          <w:p w14:paraId="2470FECA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</w:tcPr>
          <w:p w14:paraId="1DEB59FC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</w:p>
        </w:tc>
      </w:tr>
      <w:tr w:rsidR="00651F8C" w:rsidRPr="00651F8C" w14:paraId="487152E2" w14:textId="77777777" w:rsidTr="00651F8C">
        <w:tc>
          <w:tcPr>
            <w:tcW w:w="6238" w:type="dxa"/>
          </w:tcPr>
          <w:p w14:paraId="22A71008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Verificaciones inadecuadas de materiales que ingresan.</w:t>
            </w:r>
          </w:p>
        </w:tc>
        <w:tc>
          <w:tcPr>
            <w:tcW w:w="1985" w:type="dxa"/>
          </w:tcPr>
          <w:p w14:paraId="7E1EBF4C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</w:tcPr>
          <w:p w14:paraId="7C9DAFE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</w:tr>
      <w:tr w:rsidR="00651F8C" w:rsidRPr="00651F8C" w14:paraId="0A7EF1C6" w14:textId="77777777" w:rsidTr="00651F8C">
        <w:tc>
          <w:tcPr>
            <w:tcW w:w="6238" w:type="dxa"/>
          </w:tcPr>
          <w:p w14:paraId="3E858397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  <w:t xml:space="preserve">Procedimientos </w:t>
            </w:r>
            <w:r w:rsidRPr="00C764A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estándar de operación incompletos para las operaciones de empaque.</w:t>
            </w:r>
          </w:p>
        </w:tc>
        <w:tc>
          <w:tcPr>
            <w:tcW w:w="1985" w:type="dxa"/>
          </w:tcPr>
          <w:p w14:paraId="2316096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1F7299B2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32D6117C" w14:textId="77777777" w:rsidTr="00651F8C">
        <w:tc>
          <w:tcPr>
            <w:tcW w:w="6238" w:type="dxa"/>
          </w:tcPr>
          <w:p w14:paraId="430DDD92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>Rotulación inadecuada / almacenamiento de materiales y productos rechazados que podría generar confusiones.</w:t>
            </w:r>
          </w:p>
        </w:tc>
        <w:tc>
          <w:tcPr>
            <w:tcW w:w="1985" w:type="dxa"/>
          </w:tcPr>
          <w:p w14:paraId="05F9FD10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626E0C2D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73E8EB29" w14:textId="77777777" w:rsidTr="00651F8C">
        <w:tc>
          <w:tcPr>
            <w:tcW w:w="6238" w:type="dxa"/>
          </w:tcPr>
          <w:p w14:paraId="5969948B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>Luego de la recepción de materias primas, y productos en proceso o a granel, las mismas no se mantienen en cuarentena hasta su liberación por Control de Calidad.</w:t>
            </w:r>
          </w:p>
        </w:tc>
        <w:tc>
          <w:tcPr>
            <w:tcW w:w="1985" w:type="dxa"/>
          </w:tcPr>
          <w:p w14:paraId="427471D0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083EFFD3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457B3B74" w14:textId="77777777" w:rsidTr="00651F8C">
        <w:tc>
          <w:tcPr>
            <w:tcW w:w="6238" w:type="dxa"/>
          </w:tcPr>
          <w:p w14:paraId="499275DC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_tradnl" w:eastAsia="es-ES"/>
              </w:rPr>
              <w:t>Rotulación inadecuada / inexacta de materias primas, y productos en proceso o a granel.</w:t>
            </w:r>
          </w:p>
        </w:tc>
        <w:tc>
          <w:tcPr>
            <w:tcW w:w="1985" w:type="dxa"/>
          </w:tcPr>
          <w:p w14:paraId="12C05D67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78CC0225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6FF7737F" w14:textId="77777777" w:rsidTr="00651F8C">
        <w:tc>
          <w:tcPr>
            <w:tcW w:w="6238" w:type="dxa"/>
          </w:tcPr>
          <w:p w14:paraId="23A4AE47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  <w:r w:rsidRPr="00C764A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Procedimientos estándar de operación incompletos sobre el manejo de materiales y productos.</w:t>
            </w:r>
          </w:p>
        </w:tc>
        <w:tc>
          <w:tcPr>
            <w:tcW w:w="1985" w:type="dxa"/>
          </w:tcPr>
          <w:p w14:paraId="7FBEAB29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</w:tcPr>
          <w:p w14:paraId="50B94E23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</w:pPr>
          </w:p>
        </w:tc>
      </w:tr>
      <w:tr w:rsidR="00651F8C" w:rsidRPr="00651F8C" w14:paraId="35084FFC" w14:textId="77777777" w:rsidTr="00651F8C">
        <w:tc>
          <w:tcPr>
            <w:tcW w:w="6238" w:type="dxa"/>
          </w:tcPr>
          <w:p w14:paraId="0316C6BA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 xml:space="preserve">Ausencia de un procedimiento de </w:t>
            </w:r>
            <w:proofErr w:type="spellStart"/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>recall</w:t>
            </w:r>
            <w:proofErr w:type="spellEnd"/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 xml:space="preserve"> y prácticas de distribución que no permitirían un </w:t>
            </w:r>
            <w:proofErr w:type="spellStart"/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>recall</w:t>
            </w:r>
            <w:proofErr w:type="spellEnd"/>
            <w:r w:rsidRPr="00C764AD">
              <w:rPr>
                <w:rFonts w:ascii="Quincy CF" w:hAnsi="Quincy CF" w:cs="Tahoma"/>
                <w:sz w:val="20"/>
                <w:szCs w:val="20"/>
                <w:lang w:val="es-ES" w:eastAsia="es-ES"/>
              </w:rPr>
              <w:t xml:space="preserve"> adecuado (registros de distribución no disponibles o no conservados).</w:t>
            </w:r>
          </w:p>
        </w:tc>
        <w:tc>
          <w:tcPr>
            <w:tcW w:w="1985" w:type="dxa"/>
          </w:tcPr>
          <w:p w14:paraId="1BD27D27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751801C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7A22A0AA" w14:textId="77777777" w:rsidTr="00651F8C">
        <w:tc>
          <w:tcPr>
            <w:tcW w:w="6238" w:type="dxa"/>
          </w:tcPr>
          <w:p w14:paraId="1AF14E97" w14:textId="77777777" w:rsidR="00651F8C" w:rsidRPr="0065280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65280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Ausencia de sistema de filtración de aire para eliminar contaminantes que puedan generarse durante la fabricación o empaque</w:t>
            </w:r>
          </w:p>
        </w:tc>
        <w:tc>
          <w:tcPr>
            <w:tcW w:w="1985" w:type="dxa"/>
          </w:tcPr>
          <w:p w14:paraId="3660BABE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37E8D43B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78D88643" w14:textId="77777777" w:rsidTr="00651F8C">
        <w:tc>
          <w:tcPr>
            <w:tcW w:w="6238" w:type="dxa"/>
          </w:tcPr>
          <w:p w14:paraId="1D7A93AB" w14:textId="77777777" w:rsidR="00651F8C" w:rsidRPr="0065280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65280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Segregación inadecuada de las áreas de manufactura o ensayo de otras áreas de manufactura de productos de alto riesgo.</w:t>
            </w:r>
          </w:p>
        </w:tc>
        <w:tc>
          <w:tcPr>
            <w:tcW w:w="1985" w:type="dxa"/>
          </w:tcPr>
          <w:p w14:paraId="027FCEFB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7C342E13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383C5357" w14:textId="77777777" w:rsidTr="00651F8C">
        <w:tc>
          <w:tcPr>
            <w:tcW w:w="6238" w:type="dxa"/>
          </w:tcPr>
          <w:p w14:paraId="25A3B6BF" w14:textId="77777777" w:rsidR="00651F8C" w:rsidRPr="0065280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65280D"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  <w:t>Los tanques para la manufactura de líquidos y ungüentos no están equipados con conexiones sanitarias.</w:t>
            </w:r>
          </w:p>
        </w:tc>
        <w:tc>
          <w:tcPr>
            <w:tcW w:w="1985" w:type="dxa"/>
          </w:tcPr>
          <w:p w14:paraId="14A6815A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52BD0381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70709FAD" w14:textId="77777777" w:rsidTr="00651F8C">
        <w:tc>
          <w:tcPr>
            <w:tcW w:w="6238" w:type="dxa"/>
          </w:tcPr>
          <w:p w14:paraId="7D560486" w14:textId="77777777" w:rsidR="00651F8C" w:rsidRPr="0065280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65280D"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  <w:t xml:space="preserve">Equipos inadecuados para la producción: superficies porosas y no </w:t>
            </w:r>
            <w:proofErr w:type="spellStart"/>
            <w:r w:rsidRPr="0065280D"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  <w:t>limpiables</w:t>
            </w:r>
            <w:proofErr w:type="spellEnd"/>
            <w:r w:rsidRPr="0065280D"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  <w:t xml:space="preserve"> / materiales que liberan partículas</w:t>
            </w:r>
          </w:p>
        </w:tc>
        <w:tc>
          <w:tcPr>
            <w:tcW w:w="1985" w:type="dxa"/>
          </w:tcPr>
          <w:p w14:paraId="67F8734D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416C3D18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370E86A1" w14:textId="77777777" w:rsidTr="00651F8C">
        <w:tc>
          <w:tcPr>
            <w:tcW w:w="6238" w:type="dxa"/>
          </w:tcPr>
          <w:p w14:paraId="2BAAA782" w14:textId="77777777" w:rsidR="00651F8C" w:rsidRPr="0065280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65280D">
              <w:rPr>
                <w:rFonts w:ascii="Quincy CF" w:hAnsi="Quincy CF" w:cs="Tahoma"/>
                <w:bCs/>
                <w:sz w:val="20"/>
                <w:szCs w:val="20"/>
                <w:lang w:val="es-ES_tradnl" w:eastAsia="es-ES"/>
              </w:rPr>
              <w:t>La ubicación de los equipos no evita la contaminación cruzada o posibles mezclas / confusiones cuando se llevan a cabo operaciones en un área común</w:t>
            </w:r>
            <w:r w:rsidRPr="0065280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985" w:type="dxa"/>
          </w:tcPr>
          <w:p w14:paraId="4CE90336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222D186B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44DE6065" w14:textId="77777777" w:rsidTr="00651F8C">
        <w:tc>
          <w:tcPr>
            <w:tcW w:w="6238" w:type="dxa"/>
          </w:tcPr>
          <w:p w14:paraId="434FAC73" w14:textId="77777777" w:rsidR="00651F8C" w:rsidRPr="0065280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CL" w:eastAsia="es-ES"/>
              </w:rPr>
            </w:pPr>
            <w:r w:rsidRPr="0065280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Distancia insuficiente entre los equipos y las paredes dificulta o imposibilita la limpieza.</w:t>
            </w:r>
          </w:p>
        </w:tc>
        <w:tc>
          <w:tcPr>
            <w:tcW w:w="1985" w:type="dxa"/>
          </w:tcPr>
          <w:p w14:paraId="62978913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6A727AD0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  <w:tr w:rsidR="00651F8C" w:rsidRPr="00651F8C" w14:paraId="32C90F11" w14:textId="77777777" w:rsidTr="00651F8C">
        <w:tc>
          <w:tcPr>
            <w:tcW w:w="6238" w:type="dxa"/>
          </w:tcPr>
          <w:p w14:paraId="2224CC93" w14:textId="77777777" w:rsidR="00651F8C" w:rsidRPr="0065280D" w:rsidRDefault="00651F8C" w:rsidP="009140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Quincy CF" w:hAnsi="Quincy CF" w:cs="Tahoma"/>
                <w:sz w:val="20"/>
                <w:szCs w:val="20"/>
                <w:lang w:val="es-ES" w:eastAsia="es-ES"/>
              </w:rPr>
            </w:pPr>
            <w:r w:rsidRPr="0065280D">
              <w:rPr>
                <w:rFonts w:ascii="Quincy CF" w:hAnsi="Quincy CF" w:cs="Tahoma"/>
                <w:bCs/>
                <w:sz w:val="20"/>
                <w:szCs w:val="20"/>
                <w:lang w:val="es-ES" w:eastAsia="es-ES"/>
              </w:rPr>
              <w:t>Ausencia de un programa escrito de limpieza / sanitización, pero las instalaciones se encuentran en un estado aceptable de limpieza.</w:t>
            </w:r>
          </w:p>
        </w:tc>
        <w:tc>
          <w:tcPr>
            <w:tcW w:w="1985" w:type="dxa"/>
          </w:tcPr>
          <w:p w14:paraId="78C8DA9F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14:paraId="4C7800F2" w14:textId="77777777" w:rsidR="00651F8C" w:rsidRPr="00C764AD" w:rsidRDefault="00651F8C" w:rsidP="009140E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rFonts w:ascii="Quincy CF" w:hAnsi="Quincy CF" w:cs="Tahoma"/>
                <w:sz w:val="20"/>
                <w:szCs w:val="20"/>
                <w:lang w:val="es-ES_tradnl" w:eastAsia="es-ES"/>
              </w:rPr>
            </w:pPr>
          </w:p>
        </w:tc>
      </w:tr>
    </w:tbl>
    <w:p w14:paraId="6653E022" w14:textId="4E497595" w:rsidR="00651F8C" w:rsidRPr="00651F8C" w:rsidRDefault="00651F8C" w:rsidP="00651F8C">
      <w:pPr>
        <w:rPr>
          <w:lang w:val="es-C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84CA8B" wp14:editId="78088BDB">
                <wp:simplePos x="0" y="0"/>
                <wp:positionH relativeFrom="page">
                  <wp:posOffset>2726107</wp:posOffset>
                </wp:positionH>
                <wp:positionV relativeFrom="page">
                  <wp:posOffset>463425</wp:posOffset>
                </wp:positionV>
                <wp:extent cx="4114800" cy="50673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87A48" w14:textId="77777777" w:rsidR="00651F8C" w:rsidRDefault="00651F8C" w:rsidP="00651F8C">
                            <w:pPr>
                              <w:pStyle w:val="Ttulo1"/>
                              <w:ind w:right="60"/>
                            </w:pPr>
                            <w:r>
                              <w:t>CERCAL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4CA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4.65pt;margin-top:36.5pt;width:324pt;height:39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GHzgEAAIoDAAAOAAAAZHJzL2Uyb0RvYy54bWysU9uO0zAQfUfiHyy/0yQleyFqugJWRUjL&#10;grTwAY7jNBGJx8y4TcrXM3baboE3xIvlueT4nDOT1d009GJvkDqwpcwWqRTGaqg7uy3lt6+bV7dS&#10;kFe2Vj1YU8qDIXm3fvliNbrCLKGFvjYoGMRSMbpStt67IklIt2ZQtABnLBcbwEF5DnGb1KhGRh/6&#10;ZJmm18kIWDsEbYg4ez8X5TriN43R/nPTkPGiLyVz8/HEeFbhTNYrVWxRubbTRxrqH1gMqrP86Bnq&#10;Xnkldtj9BTV0GoGg8QsNQwJN02kTNbCaLP1DzVOrnIla2BxyZ5vo/8Hqx/2T+4LCT+9g4gFGEeQe&#10;QH8n9iYZHRXHnuApFRS6q/ET1DxNtfMQv5gaHIJ8FiQYhp0+nN01kxeak3mW5bcplzTXrtLrm9fR&#10;/kQVp68dkv9gYBDhUkrk6UV0tX8gH9io4tQSHrOw6fo+TrC3vyW4MWQi+0B4pu6nauLuoKKC+sA6&#10;EOaF4AXmSwv4U4qRl6GU9GOn0EjRf7Ts9pssz8P2xCC/ullygJeV6rKirGaoUnop5ut7P2/czmG3&#10;bfmlk81v2b9NF6U9szry5oFHxcflDBt1Gceu519o/QsAAP//AwBQSwMEFAAGAAgAAAAhAH28DhHf&#10;AAAACwEAAA8AAABkcnMvZG93bnJldi54bWxMj0FPwkAQhe8m/IfNkHiTrUVsqd0SInLhYCISztvu&#10;2Fa6s013gfrvHU56m5n38uZ7+Wq0nbjg4FtHCh5nEQikypmWagWHz+1DCsIHTUZ3jlDBD3pYFZO7&#10;XGfGXekDL/tQCw4hn2kFTQh9JqWvGrTaz1yPxNqXG6wOvA61NIO+crjtZBxFz9LqlvhDo3t8bbA6&#10;7c9WQZJuNyYmPO1wU72V63d7PH5bpe6n4/oFRMAx/Jnhhs/oUDBT6c5kvOgUPMXLOVs5bM6dboYo&#10;SfhS8rSIU5BFLv93KH4BAAD//wMAUEsBAi0AFAAGAAgAAAAhALaDOJL+AAAA4QEAABMAAAAAAAAA&#10;AAAAAAAAAAAAAFtDb250ZW50X1R5cGVzXS54bWxQSwECLQAUAAYACAAAACEAOP0h/9YAAACUAQAA&#10;CwAAAAAAAAAAAAAAAAAvAQAAX3JlbHMvLnJlbHNQSwECLQAUAAYACAAAACEAq8Zxh84BAACKAwAA&#10;DgAAAAAAAAAAAAAAAAAuAgAAZHJzL2Uyb0RvYy54bWxQSwECLQAUAAYACAAAACEAfbwOEd8AAAAL&#10;AQAADwAAAAAAAAAAAAAAAAAoBAAAZHJzL2Rvd25yZXYueG1sUEsFBgAAAAAEAAQA8wAAADQFAAAA&#10;AA==&#10;" filled="f" stroked="f">
                <v:path arrowok="t"/>
                <v:textbox style="mso-fit-shape-to-text:t">
                  <w:txbxContent>
                    <w:p w14:paraId="00587A48" w14:textId="77777777" w:rsidR="00651F8C" w:rsidRDefault="00651F8C" w:rsidP="00651F8C">
                      <w:pPr>
                        <w:pStyle w:val="Ttulo1"/>
                        <w:ind w:right="60"/>
                      </w:pPr>
                      <w:r>
                        <w:t>CERCAL GROUP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CA53D7" w14:textId="77777777" w:rsidR="00651F8C" w:rsidRPr="00651F8C" w:rsidRDefault="00651F8C" w:rsidP="00651F8C">
      <w:pPr>
        <w:rPr>
          <w:lang w:val="es-CL"/>
        </w:rPr>
      </w:pPr>
    </w:p>
    <w:p w14:paraId="7EFF30A0" w14:textId="77777777" w:rsidR="00651F8C" w:rsidRPr="00651F8C" w:rsidRDefault="00651F8C" w:rsidP="00651F8C">
      <w:pPr>
        <w:rPr>
          <w:lang w:val="es-CL"/>
        </w:rPr>
      </w:pPr>
    </w:p>
    <w:p w14:paraId="1EF95BF2" w14:textId="77777777" w:rsidR="00651F8C" w:rsidRPr="00651F8C" w:rsidRDefault="00651F8C" w:rsidP="00651F8C">
      <w:pPr>
        <w:rPr>
          <w:lang w:val="es-CL"/>
        </w:rPr>
      </w:pPr>
    </w:p>
    <w:p w14:paraId="2C2C4FB4" w14:textId="3AFA8209" w:rsidR="00651F8C" w:rsidRDefault="00651F8C">
      <w:pPr>
        <w:rPr>
          <w:lang w:val="es-ES"/>
        </w:rPr>
      </w:pPr>
    </w:p>
    <w:p w14:paraId="375B5E59" w14:textId="473F5652" w:rsidR="00651F8C" w:rsidRDefault="00651F8C">
      <w:pPr>
        <w:rPr>
          <w:lang w:val="es-ES"/>
        </w:rPr>
      </w:pPr>
    </w:p>
    <w:p w14:paraId="63DF6765" w14:textId="0C8E8535" w:rsidR="00651F8C" w:rsidRDefault="00651F8C">
      <w:pPr>
        <w:rPr>
          <w:lang w:val="es-ES"/>
        </w:rPr>
      </w:pPr>
    </w:p>
    <w:p w14:paraId="5298EADD" w14:textId="77777777" w:rsidR="00651F8C" w:rsidRPr="003B781D" w:rsidRDefault="00651F8C">
      <w:pPr>
        <w:rPr>
          <w:lang w:val="es-ES"/>
        </w:rPr>
      </w:pPr>
    </w:p>
    <w:sectPr w:rsidR="00651F8C" w:rsidRPr="003B781D" w:rsidSect="006616A4">
      <w:headerReference w:type="default" r:id="rId9"/>
      <w:headerReference w:type="first" r:id="rId10"/>
      <w:pgSz w:w="11907" w:h="16839"/>
      <w:pgMar w:top="1987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BDC9" w14:textId="77777777" w:rsidR="00765B68" w:rsidRDefault="00765B68">
      <w:r>
        <w:separator/>
      </w:r>
    </w:p>
  </w:endnote>
  <w:endnote w:type="continuationSeparator" w:id="0">
    <w:p w14:paraId="701E11C5" w14:textId="77777777" w:rsidR="00765B68" w:rsidRDefault="0076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ncy CF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9535" w14:textId="77777777" w:rsidR="00765B68" w:rsidRDefault="00765B68">
      <w:r>
        <w:separator/>
      </w:r>
    </w:p>
  </w:footnote>
  <w:footnote w:type="continuationSeparator" w:id="0">
    <w:p w14:paraId="569E8813" w14:textId="77777777" w:rsidR="00765B68" w:rsidRDefault="0076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A64F" w14:textId="77777777" w:rsidR="00651F8C" w:rsidRDefault="00651F8C" w:rsidP="00651F8C">
    <w:pPr>
      <w:pStyle w:val="Encabezado"/>
    </w:pPr>
    <w:r w:rsidRPr="00CF2FCC">
      <w:rPr>
        <w:noProof/>
      </w:rPr>
      <w:drawing>
        <wp:anchor distT="0" distB="0" distL="114300" distR="114300" simplePos="0" relativeHeight="251660288" behindDoc="0" locked="0" layoutInCell="1" allowOverlap="1" wp14:anchorId="5444D57A" wp14:editId="6FBE8CAC">
          <wp:simplePos x="0" y="0"/>
          <wp:positionH relativeFrom="column">
            <wp:posOffset>-157397</wp:posOffset>
          </wp:positionH>
          <wp:positionV relativeFrom="paragraph">
            <wp:posOffset>-121902</wp:posOffset>
          </wp:positionV>
          <wp:extent cx="947969" cy="808441"/>
          <wp:effectExtent l="0" t="0" r="5080" b="4445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969" cy="808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70A5E" w14:textId="77777777" w:rsidR="00651F8C" w:rsidRDefault="00651F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3034" w14:textId="55C33F76" w:rsidR="00CF2FCC" w:rsidRDefault="00507B6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159FBD" wp14:editId="76F6A0CE">
          <wp:simplePos x="0" y="0"/>
          <wp:positionH relativeFrom="column">
            <wp:posOffset>4638040</wp:posOffset>
          </wp:positionH>
          <wp:positionV relativeFrom="paragraph">
            <wp:posOffset>-342900</wp:posOffset>
          </wp:positionV>
          <wp:extent cx="1304925" cy="1304925"/>
          <wp:effectExtent l="0" t="0" r="0" b="0"/>
          <wp:wrapNone/>
          <wp:docPr id="124926791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267913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790AEC5" wp14:editId="6B82C68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94155" cy="687705"/>
          <wp:effectExtent l="0" t="0" r="0" b="0"/>
          <wp:wrapNone/>
          <wp:docPr id="62064435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644357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5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43"/>
    <w:rsid w:val="000349DE"/>
    <w:rsid w:val="000B0FBC"/>
    <w:rsid w:val="0012770E"/>
    <w:rsid w:val="00146870"/>
    <w:rsid w:val="00194A95"/>
    <w:rsid w:val="00220F77"/>
    <w:rsid w:val="00296143"/>
    <w:rsid w:val="00301262"/>
    <w:rsid w:val="00396EF3"/>
    <w:rsid w:val="003B781D"/>
    <w:rsid w:val="004165D1"/>
    <w:rsid w:val="004A35DF"/>
    <w:rsid w:val="00507B64"/>
    <w:rsid w:val="005D0BF2"/>
    <w:rsid w:val="005E2008"/>
    <w:rsid w:val="00651F8C"/>
    <w:rsid w:val="006616A4"/>
    <w:rsid w:val="00667EFC"/>
    <w:rsid w:val="0071326D"/>
    <w:rsid w:val="00765B68"/>
    <w:rsid w:val="007B7174"/>
    <w:rsid w:val="00832679"/>
    <w:rsid w:val="008A3E31"/>
    <w:rsid w:val="008F44E0"/>
    <w:rsid w:val="00912A61"/>
    <w:rsid w:val="009649C3"/>
    <w:rsid w:val="00A40CD1"/>
    <w:rsid w:val="00BA3F31"/>
    <w:rsid w:val="00C4263D"/>
    <w:rsid w:val="00CF2FCC"/>
    <w:rsid w:val="00D21585"/>
    <w:rsid w:val="00D46F50"/>
    <w:rsid w:val="00E6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E160E"/>
  <w15:docId w15:val="{A85E5B72-DA74-7044-9169-C8CC02A4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</w:rPr>
  </w:style>
  <w:style w:type="paragraph" w:styleId="Ttulo1">
    <w:name w:val="heading 1"/>
    <w:basedOn w:val="Normal"/>
    <w:next w:val="Normal"/>
    <w:link w:val="Ttulo1Car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Grficodetextodecampo">
    <w:name w:val="Gráfico de texto de campo"/>
    <w:basedOn w:val="Fuentedeprrafopredeter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651F8C"/>
    <w:rPr>
      <w:rFonts w:ascii="Arial" w:hAnsi="Arial" w:cs="Arial"/>
      <w:b/>
      <w:color w:val="8080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Job applicant assessment form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656235</Value>
      <Value>656225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OfficeOnline,OfficeOnlineVNext</PublishTargets>
    <AcquiredFrom xmlns="2958f784-0ef9-4616-b22d-512a8cad1f0d">Internal MS</AcquiredFrom>
    <AssetStart xmlns="2958f784-0ef9-4616-b22d-512a8cad1f0d">2012-02-02T18:22:00+00:00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TP102823727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822829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Props1.xml><?xml version="1.0" encoding="utf-8"?>
<ds:datastoreItem xmlns:ds="http://schemas.openxmlformats.org/officeDocument/2006/customXml" ds:itemID="{96190347-152A-46F5-BB08-DD97C977B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68DCA-2014-4BCF-B54D-664497BEE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752D4-1ABA-4F9F-9728-323406542F13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Virginia Quiñones</cp:lastModifiedBy>
  <cp:revision>4</cp:revision>
  <cp:lastPrinted>2002-03-18T19:34:00Z</cp:lastPrinted>
  <dcterms:created xsi:type="dcterms:W3CDTF">2021-11-18T21:10:00Z</dcterms:created>
  <dcterms:modified xsi:type="dcterms:W3CDTF">2023-07-13T18:01:00Z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14174800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